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0" w:after="80"/>
        <w:jc w:val="center"/>
      </w:pPr>
      <w:r>
        <w:rPr>
          <w:rFonts w:ascii="Roboto Condensed" w:hAnsi="Roboto Condensed"/>
          <w:b/>
          <w:color w:val="26413E"/>
          <w:sz w:val="72"/>
        </w:rPr>
        <w:t>Code of the North</w:t>
      </w:r>
    </w:p>
    <w:p>
      <w:pPr>
        <w:spacing w:after="80"/>
        <w:jc w:val="center"/>
      </w:pPr>
      <w:r>
        <w:rPr>
          <w:rFonts w:ascii="Space Grotesk" w:hAnsi="Space Grotesk"/>
          <w:color w:val="64645A"/>
          <w:sz w:val="28"/>
        </w:rPr>
        <w:t>&lt;We'll Guide You Out of the Woods/&gt;</w:t>
      </w:r>
    </w:p>
    <w:p/>
    <w:p>
      <w:r>
        <w:br w:type="page"/>
      </w:r>
    </w:p>
    <w:p>
      <w:pPr>
        <w:spacing w:before="360" w:after="120"/>
      </w:pPr>
      <w:r>
        <w:rPr>
          <w:rFonts w:ascii="Roboto Condensed" w:hAnsi="Roboto Condensed"/>
          <w:b/>
          <w:color w:val="96968C"/>
          <w:sz w:val="18"/>
        </w:rPr>
        <w:t>COLOR PALETTE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60"/>
            <w:shd w:val="clear" w:color="auto" w:fill="181E24"/>
          </w:tcPr>
          <w:p>
            <w:r>
              <w:rPr>
                <w:sz w:val="40"/>
              </w:rPr>
              <w:t xml:space="preserve">  </w:t>
              <w:br/>
              <w:t xml:space="preserve">  </w:t>
            </w:r>
          </w:p>
        </w:tc>
        <w:tc>
          <w:tcPr>
            <w:tcW w:type="dxa" w:w="1560"/>
            <w:shd w:val="clear" w:color="auto" w:fill="313D49"/>
          </w:tcPr>
          <w:p>
            <w:r>
              <w:rPr>
                <w:sz w:val="40"/>
              </w:rPr>
              <w:t xml:space="preserve">  </w:t>
              <w:br/>
              <w:t xml:space="preserve">  </w:t>
            </w:r>
          </w:p>
        </w:tc>
        <w:tc>
          <w:tcPr>
            <w:tcW w:type="dxa" w:w="1560"/>
            <w:shd w:val="clear" w:color="auto" w:fill="495C6E"/>
          </w:tcPr>
          <w:p>
            <w:r>
              <w:rPr>
                <w:sz w:val="40"/>
              </w:rPr>
              <w:t xml:space="preserve">  </w:t>
              <w:br/>
              <w:t xml:space="preserve">  </w:t>
            </w:r>
          </w:p>
        </w:tc>
        <w:tc>
          <w:tcPr>
            <w:tcW w:type="dxa" w:w="1560"/>
            <w:shd w:val="clear" w:color="auto" w:fill="26413E"/>
          </w:tcPr>
          <w:p>
            <w:r>
              <w:rPr>
                <w:sz w:val="40"/>
              </w:rPr>
              <w:t xml:space="preserve">  </w:t>
              <w:br/>
              <w:t xml:space="preserve">  </w:t>
            </w:r>
          </w:p>
        </w:tc>
        <w:tc>
          <w:tcPr>
            <w:tcW w:type="dxa" w:w="1560"/>
            <w:shd w:val="clear" w:color="auto" w:fill="3C6762"/>
          </w:tcPr>
          <w:p>
            <w:r>
              <w:rPr>
                <w:sz w:val="40"/>
              </w:rPr>
              <w:t xml:space="preserve">  </w:t>
              <w:br/>
              <w:t xml:space="preserve">  </w:t>
            </w:r>
          </w:p>
        </w:tc>
        <w:tc>
          <w:tcPr>
            <w:tcW w:type="dxa" w:w="1560"/>
            <w:shd w:val="clear" w:color="auto" w:fill="538D87"/>
          </w:tcPr>
          <w:p>
            <w:r>
              <w:rPr>
                <w:sz w:val="40"/>
              </w:rPr>
              <w:t xml:space="preserve">  </w:t>
              <w:br/>
              <w:t xml:space="preserve">  </w:t>
            </w:r>
          </w:p>
        </w:tc>
      </w:tr>
      <w:tr>
        <w:tc>
          <w:tcPr>
            <w:tcW w:type="dxa" w:w="1560"/>
          </w:tcPr>
          <w:p>
            <w:r>
              <w:rPr>
                <w:rFonts w:ascii="Courier New" w:hAnsi="Courier New"/>
                <w:sz w:val="14"/>
              </w:rPr>
              <w:t>Midnight</w:t>
              <w:br/>
              <w:t>#181E24</w:t>
              <w:br/>
              <w:t>RGB(24,30,36)</w:t>
            </w:r>
          </w:p>
        </w:tc>
        <w:tc>
          <w:tcPr>
            <w:tcW w:type="dxa" w:w="1560"/>
          </w:tcPr>
          <w:p>
            <w:r>
              <w:rPr>
                <w:rFonts w:ascii="Courier New" w:hAnsi="Courier New"/>
                <w:sz w:val="14"/>
              </w:rPr>
              <w:t>Midnight Shade 1</w:t>
              <w:br/>
              <w:t>#313D49</w:t>
              <w:br/>
              <w:t>RGB(49,61,73)</w:t>
            </w:r>
          </w:p>
        </w:tc>
        <w:tc>
          <w:tcPr>
            <w:tcW w:type="dxa" w:w="1560"/>
          </w:tcPr>
          <w:p>
            <w:r>
              <w:rPr>
                <w:rFonts w:ascii="Courier New" w:hAnsi="Courier New"/>
                <w:sz w:val="14"/>
              </w:rPr>
              <w:t>Midnight Shade 2</w:t>
              <w:br/>
              <w:t>#495C6E</w:t>
              <w:br/>
              <w:t>RGB(73,92,110)</w:t>
            </w:r>
          </w:p>
        </w:tc>
        <w:tc>
          <w:tcPr>
            <w:tcW w:type="dxa" w:w="1560"/>
          </w:tcPr>
          <w:p>
            <w:r>
              <w:rPr>
                <w:rFonts w:ascii="Courier New" w:hAnsi="Courier New"/>
                <w:sz w:val="14"/>
              </w:rPr>
              <w:t>Forest</w:t>
              <w:br/>
              <w:t>#26413E</w:t>
              <w:br/>
              <w:t>RGB(38,65,62)</w:t>
            </w:r>
          </w:p>
        </w:tc>
        <w:tc>
          <w:tcPr>
            <w:tcW w:type="dxa" w:w="1560"/>
          </w:tcPr>
          <w:p>
            <w:r>
              <w:rPr>
                <w:rFonts w:ascii="Courier New" w:hAnsi="Courier New"/>
                <w:sz w:val="14"/>
              </w:rPr>
              <w:t>Forest Shade 1</w:t>
              <w:br/>
              <w:t>#3C6762</w:t>
              <w:br/>
              <w:t>RGB(60,103,98)</w:t>
            </w:r>
          </w:p>
        </w:tc>
        <w:tc>
          <w:tcPr>
            <w:tcW w:type="dxa" w:w="1560"/>
          </w:tcPr>
          <w:p>
            <w:r>
              <w:rPr>
                <w:rFonts w:ascii="Courier New" w:hAnsi="Courier New"/>
                <w:sz w:val="14"/>
              </w:rPr>
              <w:t>Forest Shade 2</w:t>
              <w:br/>
              <w:t>#538D87</w:t>
              <w:br/>
              <w:t>RGB(83,141,135)</w:t>
            </w:r>
          </w:p>
        </w:tc>
      </w:tr>
    </w:tbl>
    <w:p/>
    <w:p>
      <w:pPr>
        <w:spacing w:before="360" w:after="120"/>
      </w:pPr>
      <w:r>
        <w:rPr>
          <w:rFonts w:ascii="Roboto Condensed" w:hAnsi="Roboto Condensed"/>
          <w:b/>
          <w:color w:val="96968C"/>
          <w:sz w:val="18"/>
        </w:rPr>
        <w:t>TYPOGRAPHY</w:t>
      </w:r>
    </w:p>
    <w:p>
      <w:r>
        <w:rPr>
          <w:b/>
        </w:rPr>
        <w:t xml:space="preserve">Heading Font  </w:t>
      </w:r>
      <w:r>
        <w:rPr>
          <w:rFonts w:ascii="Courier New" w:hAnsi="Courier New"/>
          <w:sz w:val="20"/>
        </w:rPr>
        <w:t>Roboto Condensed</w:t>
      </w:r>
    </w:p>
    <w:p>
      <w:pPr>
        <w:spacing w:after="200"/>
      </w:pPr>
      <w:r>
        <w:rPr>
          <w:rFonts w:ascii="Roboto Condensed" w:hAnsi="Roboto Condensed"/>
          <w:b/>
          <w:color w:val="26413E"/>
          <w:sz w:val="44"/>
        </w:rPr>
        <w:t>Sample Heading in Roboto Condensed</w:t>
      </w:r>
    </w:p>
    <w:p>
      <w:r>
        <w:rPr>
          <w:b/>
        </w:rPr>
        <w:t xml:space="preserve">Body Font  </w:t>
      </w:r>
      <w:r>
        <w:rPr>
          <w:rFonts w:ascii="Courier New" w:hAnsi="Courier New"/>
          <w:sz w:val="20"/>
        </w:rPr>
        <w:t>Space Grotesk</w:t>
      </w:r>
    </w:p>
    <w:p>
      <w:r>
        <w:rPr>
          <w:rFonts w:ascii="Space Grotesk" w:hAnsi="Space Grotesk"/>
          <w:sz w:val="22"/>
        </w:rPr>
        <w:t>Sample body copy in Space Grotesk. Clear, readable, professional. Used for all running text, descriptions, and longer-form content.</w:t>
      </w:r>
    </w:p>
    <w:p/>
    <w:p>
      <w:pPr>
        <w:spacing w:before="360" w:after="120"/>
      </w:pPr>
      <w:r>
        <w:rPr>
          <w:rFonts w:ascii="Roboto Condensed" w:hAnsi="Roboto Condensed"/>
          <w:b/>
          <w:color w:val="96968C"/>
          <w:sz w:val="18"/>
        </w:rPr>
        <w:t>VOICE &amp; TONE</w:t>
      </w:r>
    </w:p>
    <w:p>
      <w:pPr>
        <w:spacing w:after="120"/>
      </w:pPr>
      <w:r>
        <w:rPr>
          <w:rFonts w:ascii="Roboto Condensed" w:hAnsi="Roboto Condensed"/>
          <w:b/>
          <w:color w:val="E9E730"/>
          <w:sz w:val="36"/>
        </w:rPr>
        <w:t>Digital-forward, guiding, outdoorsy</w:t>
      </w:r>
    </w:p>
    <w:p>
      <w:pPr>
        <w:spacing w:after="200"/>
      </w:pPr>
      <w:r>
        <w:rPr>
          <w:rFonts w:ascii="Space Grotesk" w:hAnsi="Space Grotesk"/>
          <w:color w:val="64645A"/>
          <w:sz w:val="20"/>
        </w:rPr>
        <w:t>Attributes: Modern · Organic · Daring · Technical · Approachable</w:t>
      </w:r>
    </w:p>
    <w:p>
      <w:pPr>
        <w:spacing w:after="40"/>
      </w:pPr>
      <w:r>
        <w:rPr>
          <w:rFonts w:ascii="Space Grotesk" w:hAnsi="Space Grotesk"/>
          <w:b/>
          <w:color w:val="2D7D46"/>
          <w:sz w:val="18"/>
        </w:rPr>
        <w:t>✓  Write Like This</w:t>
      </w:r>
    </w:p>
    <w:p>
      <w:pPr>
        <w:spacing w:after="40"/>
        <w:ind w:left="288"/>
      </w:pPr>
      <w:r>
        <w:rPr>
          <w:rFonts w:ascii="Space Grotesk" w:hAnsi="Space Grotesk"/>
          <w:color w:val="2D7D46"/>
          <w:sz w:val="20"/>
        </w:rPr>
        <w:t xml:space="preserve">  Blend organic and digital language — nature metaphors paired with technical NetSuite terminology</w:t>
      </w:r>
    </w:p>
    <w:p>
      <w:pPr>
        <w:spacing w:after="40"/>
        <w:ind w:left="288"/>
      </w:pPr>
      <w:r>
        <w:rPr>
          <w:rFonts w:ascii="Space Grotesk" w:hAnsi="Space Grotesk"/>
          <w:color w:val="2D7D46"/>
          <w:sz w:val="20"/>
        </w:rPr>
        <w:t xml:space="preserve">  Use brackets { } to emphasize points or sign off on documents</w:t>
      </w:r>
    </w:p>
    <w:p>
      <w:pPr>
        <w:spacing w:after="40"/>
        <w:ind w:left="288"/>
      </w:pPr>
      <w:r>
        <w:rPr>
          <w:rFonts w:ascii="Space Grotesk" w:hAnsi="Space Grotesk"/>
          <w:color w:val="2D7D46"/>
          <w:sz w:val="20"/>
        </w:rPr>
        <w:t xml:space="preserve">  Speak as a guide helping clients navigate complexity ('out of the woods')</w:t>
      </w:r>
    </w:p>
    <w:p>
      <w:pPr>
        <w:spacing w:after="40"/>
        <w:ind w:left="288"/>
      </w:pPr>
      <w:r>
        <w:rPr>
          <w:rFonts w:ascii="Space Grotesk" w:hAnsi="Space Grotesk"/>
          <w:color w:val="2D7D46"/>
          <w:sz w:val="20"/>
        </w:rPr>
        <w:t xml:space="preserve">  Use the brand typeface when referencing the name inline, not the logo</w:t>
      </w:r>
    </w:p>
    <w:p>
      <w:pPr>
        <w:spacing w:before="200" w:after="40"/>
      </w:pPr>
      <w:r>
        <w:rPr>
          <w:rFonts w:ascii="Space Grotesk" w:hAnsi="Space Grotesk"/>
          <w:b/>
          <w:color w:val="B94040"/>
          <w:sz w:val="18"/>
        </w:rPr>
        <w:t>✗  Avoid</w:t>
      </w:r>
    </w:p>
    <w:p>
      <w:pPr>
        <w:spacing w:after="40"/>
        <w:ind w:left="288"/>
      </w:pPr>
      <w:r>
        <w:rPr>
          <w:rFonts w:ascii="Space Grotesk" w:hAnsi="Space Grotesk"/>
          <w:color w:val="B94040"/>
          <w:sz w:val="20"/>
        </w:rPr>
        <w:t xml:space="preserve">  Alter the logo ratio, elements, colors, or arrangement</w:t>
      </w:r>
    </w:p>
    <w:p>
      <w:pPr>
        <w:spacing w:after="40"/>
        <w:ind w:left="288"/>
      </w:pPr>
      <w:r>
        <w:rPr>
          <w:rFonts w:ascii="Space Grotesk" w:hAnsi="Space Grotesk"/>
          <w:color w:val="B94040"/>
          <w:sz w:val="20"/>
        </w:rPr>
        <w:t xml:space="preserve">  Use the logotype without its brackets, or use brackets as a repeated pattern</w:t>
      </w:r>
    </w:p>
    <w:p>
      <w:pPr>
        <w:spacing w:after="40"/>
        <w:ind w:left="288"/>
      </w:pPr>
      <w:r>
        <w:rPr>
          <w:rFonts w:ascii="Space Grotesk" w:hAnsi="Space Grotesk"/>
          <w:color w:val="B94040"/>
          <w:sz w:val="20"/>
        </w:rPr>
        <w:t xml:space="preserve">  Place the logo on low-contrast backgrounds or inline with body copy</w:t>
      </w:r>
    </w:p>
    <w:p>
      <w:pPr>
        <w:spacing w:after="40"/>
        <w:ind w:left="288"/>
      </w:pPr>
      <w:r>
        <w:rPr>
          <w:rFonts w:ascii="Space Grotesk" w:hAnsi="Space Grotesk"/>
          <w:color w:val="B94040"/>
          <w:sz w:val="20"/>
        </w:rPr>
        <w:t xml:space="preserve">  Scale rasterized logos until pixelated — use SVG for large sizes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